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2025-2026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182896</wp:posOffset>
                </wp:positionV>
                <wp:extent cx="6143625" cy="222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50" y="378000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182896</wp:posOffset>
                </wp:positionV>
                <wp:extent cx="6143625" cy="22225"/>
                <wp:effectExtent b="0" l="0" r="0" t="0"/>
                <wp:wrapNone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36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DRESS CODE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Uniform Specifications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The purpose of the dress code is to teach the self-discipline associated with personal hygiene and grooming, and to encourage students to take pride in their personal appearance.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Clothing must be clean and pressed without holes or tatters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uniform pieces may be purchased from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Flynn &amp; O’Hara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8"/>
            <w:szCs w:val="18"/>
            <w:u w:val="single"/>
            <w:rtl w:val="0"/>
          </w:rPr>
          <w:t xml:space="preserve">https://www.flynnohara.com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Locally, McKay’s Work Clothes (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18"/>
          <w:szCs w:val="18"/>
          <w:highlight w:val="white"/>
          <w:rtl w:val="0"/>
        </w:rPr>
        <w:t xml:space="preserve">851 Abbott Rd, Buffalo) also sells our pieces.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Uniforms may also be purchased from other local vendors provided they look like uniform pieces.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Important Uniform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Graders may wear their school designed sweatshirts (excluding during Mass and Prayer Services) 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Shirts must be worn tucked in, with the exception of girls wearing banded bottom shirts.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Undergarments must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plain white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(no printing or logos allowed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and not showing except at the collar.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Tank tops, spaghetti straps, halter tops, tops that are cut too low or too revealing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are not allowed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Skirts or shorts that are too tight, too short or too revealing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are not allowed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(2 inches above the knee).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Appropriate gym clothes and sneakers must be worn for Physical Ed classes.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Grades 3-8 can wear QH Spirit wear OR  must change into gym clothes for P.E.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Hair must be worn out of the face and eyes;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boy’s hair must be clean cut, neatly shaped .  Boy’s hair should not touch the eyebrows, ears, or collars.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Nail polish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 (Clear only)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is allowed.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Any jewelry that interferes with learning is not allowed.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Post earrings are acceptable for girls only.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Dangle or hoop earrings of any kind are not allowed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Girls should not come to school with makeup on.  This includes:  eyeshadow, mascara, fake eyelashes, lipstick, blush.  Concealer is allowed.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Body piercings or visible body art are not allowed.  This includes drawing/writing on the arms or legs.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Dress Up Days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include uniform type clothing with a choice of colors and styles and appropriate footwear.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Dress Down Days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include relaxed, modest clothing such as jeans, t-shirts and sneakers. Clothing must be clean, without holes or tatters, have no inappropriate/offensive messages, and not too tight, short or revealing.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Leggings or “jeggins” worn to school must be accompanied by a shirt or sweater that modestly covers the body below the fingertips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Track pants or “joggers” are acceptable providing they are clean and not tattered. All shoes must have a hard-soled bottom and a back.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Students are not to wear flip flops, open-toed shoes, shoes without backs or low backs,  fur-lined shoes, crocs, clogs, slippers, or moccasins.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**Students arriving at school dressed in inappropriate clothing, will be issued uniform pieces from the Uniform Loan Closet.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24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Dress Code – Grades 3-5</w:t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4763</wp:posOffset>
                </wp:positionH>
                <wp:positionV relativeFrom="paragraph">
                  <wp:posOffset>19050</wp:posOffset>
                </wp:positionV>
                <wp:extent cx="5934075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8963" y="3779683"/>
                          <a:ext cx="59340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4763</wp:posOffset>
                </wp:positionH>
                <wp:positionV relativeFrom="paragraph">
                  <wp:posOffset>19050</wp:posOffset>
                </wp:positionV>
                <wp:extent cx="5934075" cy="12700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Girls                                                            Boys</w:t>
      </w:r>
    </w:p>
    <w:tbl>
      <w:tblPr>
        <w:tblStyle w:val="Table1"/>
        <w:tblW w:w="1098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4590"/>
        <w:gridCol w:w="4410"/>
        <w:gridCol w:w="990"/>
        <w:tblGridChange w:id="0">
          <w:tblGrid>
            <w:gridCol w:w="990"/>
            <w:gridCol w:w="4590"/>
            <w:gridCol w:w="4410"/>
            <w:gridCol w:w="990"/>
          </w:tblGrid>
        </w:tblGridChange>
      </w:tblGrid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Bottom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Queen of Heaven Plaid jumper or Khaki (tan) cotton twill dress pants ( no cargo pants), Khaki flat or pleated front skorts.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Khaki(tan) cotton twill dress pants (no cargo pants)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Bottom</w:t>
            </w:r>
          </w:p>
        </w:tc>
      </w:tr>
      <w:tr>
        <w:trPr>
          <w:cantSplit w:val="0"/>
          <w:trHeight w:val="108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Navy blue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long or short sleeve polo shirt (Plain or with Queen of Heaven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embroidered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School logo),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light blue blouse or oxford shirt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or a blue (light blue is acceptable)  Peter Pan collar blouse.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Navy blue long or short sleeve polo shirt (Plain or with Queen of Heaven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School logo)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</w:t>
            </w:r>
          </w:p>
        </w:tc>
      </w:tr>
      <w:tr>
        <w:trPr>
          <w:cantSplit w:val="0"/>
          <w:trHeight w:val="91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Queen of Heaven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 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fleece or Queen of Heaven Sports ¾ zip pullover  (pullovers are not permitted during prayer services or Mass days)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Solid, Plain-front, Navy blue button-down cardigan sweater (can be 3 or 6 buttons) No zippers, ruffles, hoods, or logos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Queen of Heaven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 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fleece or Queen of Heaven  Sports ¾ zip pullover  (pullovers are not permitted during prayer services or Mass days)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Solid, Plain-front, Navy blue button-down cardigan sweater (can be 3 or 6 buttons) No zippers, ruffles, hoods, or logos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3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Option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Socks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Solid black, navy, or white: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tights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knee highs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ankle socks.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Solid black,  navy or white socks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Socks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Shoes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Solid, one color blue, black or brown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shoes with no more than a 1” heel. No sneakers.  All shoes must have a hard soled bottom and a back.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u w:val="single"/>
                <w:rtl w:val="0"/>
              </w:rPr>
              <w:t xml:space="preserve">PLAIN colored Sperrys only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 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Kindergarten students should wear sneakers only with the uniform.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Solid, one color blue, black or brown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shoes with no more than a 1” heel. No sneakers All shoes must have a hard soled bottom and a back.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u w:val="single"/>
                <w:rtl w:val="0"/>
              </w:rPr>
              <w:t xml:space="preserve">PLAIN colored Sperrys only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 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Kindergarten students should wear sneakers only with the uniform.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Shoes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Belts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Black, brown or solid tan belt to be worn with pants or shorts</w:t>
            </w:r>
          </w:p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Grades 3rd-8th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Black, brown, or solid tan belt to be worn with pants or shorts.</w:t>
            </w:r>
          </w:p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Grades 3rd-8th</w:t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Belts</w:t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Dress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Sept/Oct</w:t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May/June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Khaki (tan) cotton twill walking (not cargo) shorts may be worn or Khaki flat or pleated front skorts.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Khaki (tan) cotton twill walking (not cargo) shorts may be worn.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Dress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Sept/Oct</w:t>
            </w:r>
          </w:p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May/June</w:t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088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90"/>
        <w:gridCol w:w="4590"/>
        <w:gridCol w:w="4410"/>
        <w:gridCol w:w="990"/>
        <w:tblGridChange w:id="0">
          <w:tblGrid>
            <w:gridCol w:w="10890"/>
            <w:gridCol w:w="4590"/>
            <w:gridCol w:w="4410"/>
            <w:gridCol w:w="990"/>
          </w:tblGrid>
        </w:tblGridChange>
      </w:tblGrid>
      <w:tr>
        <w:trPr>
          <w:cantSplit w:val="0"/>
          <w:trHeight w:val="558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Queen of Heaven Spirit Wear may be worn on PE days in place of the uniform. 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EXCEPTION: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 Students having PE on a Mass day or Prayer service day MUST come to school in uniform and change in the locker rooms.  </w:t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 not wishing to purchase Spirit Wear must arrive at school in their regular uniform and BRING a change of clothes for PE.  </w:t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Spirit Wear crew neck or ¾ Zip sweatshirts CAN be worn as part of the uniform OVER the polo. </w:t>
            </w:r>
          </w:p>
          <w:p w:rsidR="00000000" w:rsidDel="00000000" w:rsidP="00000000" w:rsidRDefault="00000000" w:rsidRPr="00000000" w14:paraId="0000006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QH Sports ¾ Sweatshirts can still be worn OVER a polo.  </w:t>
            </w:r>
          </w:p>
          <w:p w:rsidR="00000000" w:rsidDel="00000000" w:rsidP="00000000" w:rsidRDefault="00000000" w:rsidRPr="00000000" w14:paraId="0000006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 hoods or full zipped Spirit Wear should be worn during class or on PE days.  </w:t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0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Spirit Wear sweatshirts, fleece options and more can be purchased at McKay’s uniform store on Abbott Rd. or the QH online store: https://www.crossbarathletics.com/collections/queen-of-heaven</w:t>
            </w:r>
          </w:p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40BCD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qFormat w:val="1"/>
    <w:rsid w:val="00140BCD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140BCD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Spacing">
    <w:name w:val="No Spacing"/>
    <w:uiPriority w:val="1"/>
    <w:qFormat w:val="1"/>
    <w:rsid w:val="00140B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768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768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flynnoha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JMVBb5L3J0mmDEzO48fq8CB1A==">CgMxLjAyCGguZ2pkZ3hzOAByHDBCNlNYN2Z0a3NxVFlTMlZ3TTJaWGNFTkRaVms=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2017-07-18T17:44:00Z</dcterms:created>
  <dc:creator>Mary Damico</dc:creator>
</cp:coreProperties>
</file>